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FCC94" w14:textId="77777777" w:rsidR="006D182C" w:rsidRPr="005207FE" w:rsidRDefault="006D182C" w:rsidP="006D182C">
      <w:pPr>
        <w:jc w:val="center"/>
        <w:rPr>
          <w:b/>
          <w:sz w:val="28"/>
          <w:szCs w:val="28"/>
        </w:rPr>
      </w:pPr>
      <w:r w:rsidRPr="005207FE">
        <w:rPr>
          <w:b/>
          <w:sz w:val="28"/>
          <w:szCs w:val="28"/>
        </w:rPr>
        <w:t>Town of Buchanan</w:t>
      </w:r>
    </w:p>
    <w:p w14:paraId="47883882" w14:textId="46BB214F" w:rsidR="00D13810" w:rsidRDefault="003F78C0" w:rsidP="006D182C">
      <w:pPr>
        <w:jc w:val="center"/>
        <w:rPr>
          <w:b/>
          <w:sz w:val="28"/>
          <w:szCs w:val="28"/>
        </w:rPr>
      </w:pPr>
      <w:r>
        <w:rPr>
          <w:b/>
          <w:sz w:val="28"/>
          <w:szCs w:val="28"/>
        </w:rPr>
        <w:t>Inspection Report and Notice/Noncompliance</w:t>
      </w:r>
      <w:r w:rsidR="005207FE" w:rsidRPr="005207FE">
        <w:rPr>
          <w:b/>
          <w:sz w:val="28"/>
          <w:szCs w:val="28"/>
        </w:rPr>
        <w:t xml:space="preserve"> Checklist</w:t>
      </w:r>
    </w:p>
    <w:p w14:paraId="634DAA6A" w14:textId="35F166BA" w:rsidR="003F78C0" w:rsidRPr="005207FE" w:rsidRDefault="003F78C0" w:rsidP="006D182C">
      <w:pPr>
        <w:jc w:val="center"/>
        <w:rPr>
          <w:b/>
          <w:sz w:val="28"/>
          <w:szCs w:val="28"/>
        </w:rPr>
      </w:pPr>
      <w:r>
        <w:rPr>
          <w:b/>
          <w:sz w:val="28"/>
          <w:szCs w:val="28"/>
        </w:rPr>
        <w:t>Occupancy Permits</w:t>
      </w:r>
    </w:p>
    <w:p w14:paraId="4FECBEE6" w14:textId="77777777" w:rsidR="006D182C" w:rsidRPr="004F1DA2" w:rsidRDefault="006D182C">
      <w:pPr>
        <w:rPr>
          <w:sz w:val="18"/>
          <w:szCs w:val="18"/>
        </w:rPr>
      </w:pPr>
    </w:p>
    <w:p w14:paraId="7F7AD168" w14:textId="77777777" w:rsidR="003F78C0" w:rsidRPr="003F78C0" w:rsidRDefault="003F78C0" w:rsidP="003F78C0">
      <w:pPr>
        <w:spacing w:before="240" w:after="100" w:afterAutospacing="1"/>
        <w:outlineLvl w:val="1"/>
        <w:rPr>
          <w:rFonts w:ascii="Arial" w:eastAsia="Times New Roman" w:hAnsi="Arial" w:cs="Arial"/>
          <w:b/>
          <w:bCs/>
          <w:color w:val="000000"/>
          <w:sz w:val="18"/>
          <w:szCs w:val="18"/>
        </w:rPr>
      </w:pPr>
      <w:hyperlink r:id="rId8" w:anchor="35492894" w:history="1">
        <w:r w:rsidRPr="003F78C0">
          <w:rPr>
            <w:rFonts w:ascii="Arial" w:eastAsia="Times New Roman" w:hAnsi="Arial" w:cs="Arial"/>
            <w:color w:val="333333"/>
            <w:sz w:val="18"/>
            <w:szCs w:val="18"/>
          </w:rPr>
          <w:t>Article IX. Certificate of Occupancy</w:t>
        </w:r>
      </w:hyperlink>
    </w:p>
    <w:p w14:paraId="25C06EE8" w14:textId="77777777" w:rsidR="003F78C0" w:rsidRPr="003F78C0" w:rsidRDefault="003F78C0" w:rsidP="003F78C0">
      <w:pPr>
        <w:spacing w:before="240" w:after="100" w:afterAutospacing="1"/>
        <w:outlineLvl w:val="3"/>
        <w:rPr>
          <w:rFonts w:ascii="Arial" w:eastAsia="Times New Roman" w:hAnsi="Arial" w:cs="Arial"/>
          <w:b/>
          <w:bCs/>
          <w:color w:val="000000"/>
          <w:sz w:val="18"/>
          <w:szCs w:val="18"/>
        </w:rPr>
      </w:pPr>
      <w:hyperlink r:id="rId9" w:anchor="35492895" w:history="1">
        <w:r w:rsidRPr="003F78C0">
          <w:rPr>
            <w:rFonts w:ascii="Arial" w:eastAsia="Times New Roman" w:hAnsi="Arial" w:cs="Arial"/>
            <w:color w:val="333333"/>
            <w:sz w:val="18"/>
            <w:szCs w:val="18"/>
          </w:rPr>
          <w:t>§ 230-35. Required.</w:t>
        </w:r>
      </w:hyperlink>
    </w:p>
    <w:p w14:paraId="626B71F4" w14:textId="77777777" w:rsidR="003F78C0" w:rsidRPr="003F78C0" w:rsidRDefault="003F78C0" w:rsidP="003F78C0">
      <w:pPr>
        <w:spacing w:line="255" w:lineRule="atLeast"/>
        <w:jc w:val="both"/>
        <w:rPr>
          <w:rFonts w:ascii="Arial" w:eastAsia="Times New Roman" w:hAnsi="Arial" w:cs="Arial"/>
          <w:color w:val="000000"/>
          <w:sz w:val="18"/>
          <w:szCs w:val="18"/>
        </w:rPr>
      </w:pPr>
      <w:r w:rsidRPr="003F78C0">
        <w:rPr>
          <w:rFonts w:ascii="Arial" w:eastAsia="Times New Roman" w:hAnsi="Arial" w:cs="Arial"/>
          <w:color w:val="000000"/>
          <w:sz w:val="18"/>
          <w:szCs w:val="18"/>
        </w:rPr>
        <w:t>In order to prevent the development of hazardous conditions presenting a threat to the well-being of occupants of buildings and to other persons, and to prevent the deterioration of buildings and appurtenances related thereto resulting in substantial depreciation in the property values of the neighborhood, and in order to protect and secure the health, safety and welfare of those living in the Town, it is unlawful to use or permit the use of any building or premises or part thereof without first obtaining a certificate of occupancy. A certificate of occupancy is required for:</w:t>
      </w:r>
    </w:p>
    <w:p w14:paraId="4EFF75E8" w14:textId="77777777" w:rsidR="003F78C0" w:rsidRPr="003F78C0" w:rsidRDefault="003F78C0" w:rsidP="003F78C0">
      <w:pPr>
        <w:spacing w:line="255" w:lineRule="atLeast"/>
        <w:rPr>
          <w:rFonts w:ascii="Arial" w:eastAsia="Times New Roman" w:hAnsi="Arial" w:cs="Arial"/>
          <w:color w:val="000000"/>
          <w:sz w:val="18"/>
          <w:szCs w:val="18"/>
        </w:rPr>
      </w:pPr>
      <w:hyperlink r:id="rId10" w:anchor="35492896" w:tooltip="230-35A" w:history="1">
        <w:r w:rsidRPr="003F78C0">
          <w:rPr>
            <w:rFonts w:ascii="Arial" w:eastAsia="Times New Roman" w:hAnsi="Arial" w:cs="Arial"/>
            <w:color w:val="000000"/>
            <w:sz w:val="18"/>
            <w:szCs w:val="18"/>
          </w:rPr>
          <w:t>A. </w:t>
        </w:r>
      </w:hyperlink>
    </w:p>
    <w:p w14:paraId="395B1E12" w14:textId="77777777" w:rsidR="003F78C0" w:rsidRPr="003F78C0" w:rsidRDefault="003F78C0" w:rsidP="003F78C0">
      <w:pPr>
        <w:spacing w:line="255" w:lineRule="atLeast"/>
        <w:jc w:val="both"/>
        <w:rPr>
          <w:rFonts w:ascii="Arial" w:eastAsia="Times New Roman" w:hAnsi="Arial" w:cs="Arial"/>
          <w:color w:val="000000"/>
          <w:sz w:val="18"/>
          <w:szCs w:val="18"/>
        </w:rPr>
      </w:pPr>
      <w:r w:rsidRPr="003F78C0">
        <w:rPr>
          <w:rFonts w:ascii="Arial" w:eastAsia="Times New Roman" w:hAnsi="Arial" w:cs="Arial"/>
          <w:color w:val="000000"/>
          <w:sz w:val="18"/>
          <w:szCs w:val="18"/>
        </w:rPr>
        <w:t>Commercial. New buildings, additions, change of use and change of business or tenant; change of owner;</w:t>
      </w:r>
    </w:p>
    <w:p w14:paraId="779D7BBE" w14:textId="77777777" w:rsidR="003F78C0" w:rsidRPr="003F78C0" w:rsidRDefault="003F78C0" w:rsidP="003F78C0">
      <w:pPr>
        <w:spacing w:line="255" w:lineRule="atLeast"/>
        <w:rPr>
          <w:rFonts w:ascii="Arial" w:eastAsia="Times New Roman" w:hAnsi="Arial" w:cs="Arial"/>
          <w:color w:val="000000"/>
          <w:sz w:val="18"/>
          <w:szCs w:val="18"/>
        </w:rPr>
      </w:pPr>
      <w:hyperlink r:id="rId11" w:anchor="35492897" w:tooltip="230-35B" w:history="1">
        <w:r w:rsidRPr="003F78C0">
          <w:rPr>
            <w:rFonts w:ascii="Arial" w:eastAsia="Times New Roman" w:hAnsi="Arial" w:cs="Arial"/>
            <w:color w:val="000000"/>
            <w:sz w:val="18"/>
            <w:szCs w:val="18"/>
          </w:rPr>
          <w:t>B. </w:t>
        </w:r>
      </w:hyperlink>
    </w:p>
    <w:p w14:paraId="6FA114BE" w14:textId="77777777" w:rsidR="003F78C0" w:rsidRPr="003F78C0" w:rsidRDefault="003F78C0" w:rsidP="003F78C0">
      <w:pPr>
        <w:spacing w:line="255" w:lineRule="atLeast"/>
        <w:jc w:val="both"/>
        <w:rPr>
          <w:rFonts w:ascii="Arial" w:eastAsia="Times New Roman" w:hAnsi="Arial" w:cs="Arial"/>
          <w:color w:val="000000"/>
          <w:sz w:val="18"/>
          <w:szCs w:val="18"/>
        </w:rPr>
      </w:pPr>
      <w:r w:rsidRPr="003F78C0">
        <w:rPr>
          <w:rFonts w:ascii="Arial" w:eastAsia="Times New Roman" w:hAnsi="Arial" w:cs="Arial"/>
          <w:color w:val="000000"/>
          <w:sz w:val="18"/>
          <w:szCs w:val="18"/>
        </w:rPr>
        <w:t>All additions, remodeling and placement of fill or new construction on any parcel which is subject to the provisions of Chapter 24 of the Outagamie County Code of Ordinances, provided that the approval verification described in § </w:t>
      </w:r>
      <w:hyperlink r:id="rId12" w:anchor="35492906" w:history="1">
        <w:r w:rsidRPr="003F78C0">
          <w:rPr>
            <w:rFonts w:ascii="Arial" w:eastAsia="Times New Roman" w:hAnsi="Arial" w:cs="Arial"/>
            <w:b/>
            <w:bCs/>
            <w:color w:val="000000"/>
            <w:sz w:val="18"/>
            <w:szCs w:val="18"/>
          </w:rPr>
          <w:t>230-42</w:t>
        </w:r>
      </w:hyperlink>
      <w:r w:rsidRPr="003F78C0">
        <w:rPr>
          <w:rFonts w:ascii="Arial" w:eastAsia="Times New Roman" w:hAnsi="Arial" w:cs="Arial"/>
          <w:color w:val="000000"/>
          <w:sz w:val="18"/>
          <w:szCs w:val="18"/>
        </w:rPr>
        <w:t>, below, is provided by the applicant; and</w:t>
      </w:r>
    </w:p>
    <w:p w14:paraId="11A5AC72" w14:textId="77777777" w:rsidR="003F78C0" w:rsidRPr="003F78C0" w:rsidRDefault="003F78C0" w:rsidP="003F78C0">
      <w:pPr>
        <w:spacing w:line="255" w:lineRule="atLeast"/>
        <w:rPr>
          <w:rFonts w:ascii="Arial" w:eastAsia="Times New Roman" w:hAnsi="Arial" w:cs="Arial"/>
          <w:color w:val="000000"/>
          <w:sz w:val="18"/>
          <w:szCs w:val="18"/>
        </w:rPr>
      </w:pPr>
      <w:hyperlink r:id="rId13" w:anchor="35492898" w:tooltip="230-35C" w:history="1">
        <w:r w:rsidRPr="003F78C0">
          <w:rPr>
            <w:rFonts w:ascii="Arial" w:eastAsia="Times New Roman" w:hAnsi="Arial" w:cs="Arial"/>
            <w:color w:val="000000"/>
            <w:sz w:val="18"/>
            <w:szCs w:val="18"/>
          </w:rPr>
          <w:t>C. </w:t>
        </w:r>
      </w:hyperlink>
    </w:p>
    <w:p w14:paraId="1BD548CA" w14:textId="77777777" w:rsidR="003F78C0" w:rsidRPr="003F78C0" w:rsidRDefault="003F78C0" w:rsidP="003F78C0">
      <w:pPr>
        <w:spacing w:line="255" w:lineRule="atLeast"/>
        <w:jc w:val="both"/>
        <w:rPr>
          <w:rFonts w:ascii="Arial" w:eastAsia="Times New Roman" w:hAnsi="Arial" w:cs="Arial"/>
          <w:color w:val="000000"/>
          <w:sz w:val="18"/>
          <w:szCs w:val="18"/>
        </w:rPr>
      </w:pPr>
      <w:r w:rsidRPr="003F78C0">
        <w:rPr>
          <w:rFonts w:ascii="Arial" w:eastAsia="Times New Roman" w:hAnsi="Arial" w:cs="Arial"/>
          <w:color w:val="000000"/>
          <w:sz w:val="18"/>
          <w:szCs w:val="18"/>
        </w:rPr>
        <w:t>As outlined in §§ </w:t>
      </w:r>
      <w:hyperlink r:id="rId14" w:anchor="35492903" w:history="1">
        <w:r w:rsidRPr="003F78C0">
          <w:rPr>
            <w:rFonts w:ascii="Arial" w:eastAsia="Times New Roman" w:hAnsi="Arial" w:cs="Arial"/>
            <w:b/>
            <w:bCs/>
            <w:color w:val="000000"/>
            <w:sz w:val="18"/>
            <w:szCs w:val="18"/>
          </w:rPr>
          <w:t>230-39</w:t>
        </w:r>
      </w:hyperlink>
      <w:r w:rsidRPr="003F78C0">
        <w:rPr>
          <w:rFonts w:ascii="Arial" w:eastAsia="Times New Roman" w:hAnsi="Arial" w:cs="Arial"/>
          <w:color w:val="000000"/>
          <w:sz w:val="18"/>
          <w:szCs w:val="18"/>
        </w:rPr>
        <w:t> through </w:t>
      </w:r>
      <w:hyperlink r:id="rId15" w:anchor="35492906" w:history="1">
        <w:r w:rsidRPr="003F78C0">
          <w:rPr>
            <w:rFonts w:ascii="Arial" w:eastAsia="Times New Roman" w:hAnsi="Arial" w:cs="Arial"/>
            <w:b/>
            <w:bCs/>
            <w:color w:val="000000"/>
            <w:sz w:val="18"/>
            <w:szCs w:val="18"/>
          </w:rPr>
          <w:t>230-42</w:t>
        </w:r>
      </w:hyperlink>
      <w:r w:rsidRPr="003F78C0">
        <w:rPr>
          <w:rFonts w:ascii="Arial" w:eastAsia="Times New Roman" w:hAnsi="Arial" w:cs="Arial"/>
          <w:color w:val="000000"/>
          <w:sz w:val="18"/>
          <w:szCs w:val="18"/>
        </w:rPr>
        <w:t> of this article.</w:t>
      </w:r>
    </w:p>
    <w:p w14:paraId="605629C6" w14:textId="77777777" w:rsidR="003F78C0" w:rsidRPr="003F78C0" w:rsidRDefault="003F78C0" w:rsidP="003F78C0">
      <w:pPr>
        <w:spacing w:before="240" w:after="100" w:afterAutospacing="1"/>
        <w:outlineLvl w:val="3"/>
        <w:rPr>
          <w:rFonts w:ascii="Arial" w:eastAsia="Times New Roman" w:hAnsi="Arial" w:cs="Arial"/>
          <w:b/>
          <w:bCs/>
          <w:color w:val="000000"/>
          <w:sz w:val="18"/>
          <w:szCs w:val="18"/>
        </w:rPr>
      </w:pPr>
      <w:hyperlink r:id="rId16" w:anchor="35492899" w:history="1">
        <w:r w:rsidRPr="003F78C0">
          <w:rPr>
            <w:rFonts w:ascii="Arial" w:eastAsia="Times New Roman" w:hAnsi="Arial" w:cs="Arial"/>
            <w:color w:val="333333"/>
            <w:sz w:val="18"/>
            <w:szCs w:val="18"/>
          </w:rPr>
          <w:t>§ 230-36. Definitions.</w:t>
        </w:r>
      </w:hyperlink>
    </w:p>
    <w:p w14:paraId="648D7A34" w14:textId="77777777" w:rsidR="003F78C0" w:rsidRPr="003F78C0" w:rsidRDefault="003F78C0" w:rsidP="003F78C0">
      <w:pPr>
        <w:spacing w:line="255" w:lineRule="atLeast"/>
        <w:jc w:val="both"/>
        <w:rPr>
          <w:rFonts w:ascii="Arial" w:eastAsia="Times New Roman" w:hAnsi="Arial" w:cs="Arial"/>
          <w:color w:val="000000"/>
          <w:sz w:val="18"/>
          <w:szCs w:val="18"/>
        </w:rPr>
      </w:pPr>
      <w:r w:rsidRPr="003F78C0">
        <w:rPr>
          <w:rFonts w:ascii="Arial" w:eastAsia="Times New Roman" w:hAnsi="Arial" w:cs="Arial"/>
          <w:color w:val="000000"/>
          <w:sz w:val="18"/>
          <w:szCs w:val="18"/>
        </w:rPr>
        <w:t>As used in this article, the following terms shall have the meanings indicated:</w:t>
      </w:r>
    </w:p>
    <w:p w14:paraId="2295FE99" w14:textId="77777777" w:rsidR="003F78C0" w:rsidRPr="003F78C0" w:rsidRDefault="003F78C0" w:rsidP="003F78C0">
      <w:pPr>
        <w:spacing w:line="255" w:lineRule="atLeast"/>
        <w:rPr>
          <w:rFonts w:ascii="Arial" w:eastAsia="Times New Roman" w:hAnsi="Arial" w:cs="Arial"/>
          <w:b/>
          <w:bCs/>
          <w:color w:val="000000"/>
          <w:sz w:val="18"/>
          <w:szCs w:val="18"/>
        </w:rPr>
      </w:pPr>
      <w:hyperlink r:id="rId17" w:anchor="35492900" w:history="1">
        <w:r w:rsidRPr="003F78C0">
          <w:rPr>
            <w:rFonts w:ascii="Arial" w:eastAsia="Times New Roman" w:hAnsi="Arial" w:cs="Arial"/>
            <w:b/>
            <w:bCs/>
            <w:color w:val="333333"/>
            <w:sz w:val="18"/>
            <w:szCs w:val="18"/>
          </w:rPr>
          <w:t>FINAL INSPECTION</w:t>
        </w:r>
      </w:hyperlink>
    </w:p>
    <w:p w14:paraId="6F550806" w14:textId="77777777" w:rsidR="003F78C0" w:rsidRPr="003F78C0" w:rsidRDefault="003F78C0" w:rsidP="003F78C0">
      <w:pPr>
        <w:spacing w:line="255" w:lineRule="atLeast"/>
        <w:ind w:left="720"/>
        <w:jc w:val="both"/>
        <w:rPr>
          <w:rFonts w:ascii="Arial" w:eastAsia="Times New Roman" w:hAnsi="Arial" w:cs="Arial"/>
          <w:color w:val="000000"/>
          <w:sz w:val="18"/>
          <w:szCs w:val="18"/>
        </w:rPr>
      </w:pPr>
      <w:r w:rsidRPr="003F78C0">
        <w:rPr>
          <w:rFonts w:ascii="Arial" w:eastAsia="Times New Roman" w:hAnsi="Arial" w:cs="Arial"/>
          <w:color w:val="000000"/>
          <w:sz w:val="18"/>
          <w:szCs w:val="18"/>
        </w:rPr>
        <w:t>Inspection made after the building has been altered, completed, and/or changed uses or businesses; has all the necessary permit and license approvals; and is ready for occupancy.</w:t>
      </w:r>
    </w:p>
    <w:p w14:paraId="2C21C338" w14:textId="77777777" w:rsidR="003F78C0" w:rsidRPr="003F78C0" w:rsidRDefault="003F78C0" w:rsidP="003F78C0">
      <w:pPr>
        <w:spacing w:before="240" w:after="100" w:afterAutospacing="1"/>
        <w:outlineLvl w:val="3"/>
        <w:rPr>
          <w:rFonts w:ascii="Arial" w:eastAsia="Times New Roman" w:hAnsi="Arial" w:cs="Arial"/>
          <w:b/>
          <w:bCs/>
          <w:color w:val="000000"/>
          <w:sz w:val="18"/>
          <w:szCs w:val="18"/>
        </w:rPr>
      </w:pPr>
      <w:hyperlink r:id="rId18" w:anchor="35492901" w:history="1">
        <w:r w:rsidRPr="003F78C0">
          <w:rPr>
            <w:rFonts w:ascii="Arial" w:eastAsia="Times New Roman" w:hAnsi="Arial" w:cs="Arial"/>
            <w:color w:val="333333"/>
            <w:sz w:val="18"/>
            <w:szCs w:val="18"/>
          </w:rPr>
          <w:t>§ 230-37. Application must be submitted in advance.</w:t>
        </w:r>
      </w:hyperlink>
    </w:p>
    <w:p w14:paraId="264B0AB2" w14:textId="77777777" w:rsidR="003F78C0" w:rsidRPr="003F78C0" w:rsidRDefault="003F78C0" w:rsidP="003F78C0">
      <w:pPr>
        <w:spacing w:line="255" w:lineRule="atLeast"/>
        <w:jc w:val="both"/>
        <w:rPr>
          <w:rFonts w:ascii="Arial" w:eastAsia="Times New Roman" w:hAnsi="Arial" w:cs="Arial"/>
          <w:color w:val="000000"/>
          <w:sz w:val="18"/>
          <w:szCs w:val="18"/>
        </w:rPr>
      </w:pPr>
      <w:r w:rsidRPr="003F78C0">
        <w:rPr>
          <w:rFonts w:ascii="Arial" w:eastAsia="Times New Roman" w:hAnsi="Arial" w:cs="Arial"/>
          <w:color w:val="000000"/>
          <w:sz w:val="18"/>
          <w:szCs w:val="18"/>
        </w:rPr>
        <w:t>Inspections for occupancy shall be requested by the owner or tenant on forms supplied by the Town at least five days prior to anticipating occupancy. If, upon final inspection, no violations of Town Code, Chapters Comm 60 to 66, Wis. Adm. Code, and Chapter ATCP 75, Wis. Adm. Code, are found, the building inspector shall issue a certificate of occupancy, stating the purpose for which the building is to be used and the maximum load and maximum number of persons that may be accommodated on each floor thereof. No building should be occupied in any manner which conflicts with the conditions set forth in the certificate of occupancy.</w:t>
      </w:r>
    </w:p>
    <w:p w14:paraId="27E60FDA" w14:textId="77777777" w:rsidR="003F78C0" w:rsidRPr="003F78C0" w:rsidRDefault="003F78C0" w:rsidP="003F78C0">
      <w:pPr>
        <w:spacing w:before="240" w:after="100" w:afterAutospacing="1"/>
        <w:outlineLvl w:val="3"/>
        <w:rPr>
          <w:rFonts w:ascii="Arial" w:eastAsia="Times New Roman" w:hAnsi="Arial" w:cs="Arial"/>
          <w:b/>
          <w:bCs/>
          <w:color w:val="000000"/>
          <w:sz w:val="18"/>
          <w:szCs w:val="18"/>
        </w:rPr>
      </w:pPr>
      <w:hyperlink r:id="rId19" w:anchor="35492902" w:history="1">
        <w:r w:rsidRPr="003F78C0">
          <w:rPr>
            <w:rFonts w:ascii="Arial" w:eastAsia="Times New Roman" w:hAnsi="Arial" w:cs="Arial"/>
            <w:color w:val="333333"/>
            <w:sz w:val="18"/>
            <w:szCs w:val="18"/>
          </w:rPr>
          <w:t>§ 230-38. Fee.</w:t>
        </w:r>
      </w:hyperlink>
    </w:p>
    <w:p w14:paraId="3FFAF915" w14:textId="77777777" w:rsidR="003F78C0" w:rsidRPr="003F78C0" w:rsidRDefault="003F78C0" w:rsidP="003F78C0">
      <w:pPr>
        <w:spacing w:line="255" w:lineRule="atLeast"/>
        <w:jc w:val="both"/>
        <w:rPr>
          <w:rFonts w:ascii="Arial" w:eastAsia="Times New Roman" w:hAnsi="Arial" w:cs="Arial"/>
          <w:color w:val="000000"/>
          <w:sz w:val="18"/>
          <w:szCs w:val="18"/>
        </w:rPr>
      </w:pPr>
      <w:r w:rsidRPr="003F78C0">
        <w:rPr>
          <w:rFonts w:ascii="Arial" w:eastAsia="Times New Roman" w:hAnsi="Arial" w:cs="Arial"/>
          <w:color w:val="000000"/>
          <w:sz w:val="18"/>
          <w:szCs w:val="18"/>
        </w:rPr>
        <w:t>Any certificate of occupancy required by this article shall be accompanied by the payment of a fee as contained in the Town of Buchanan Fees and Licenses Schedule.</w:t>
      </w:r>
      <w:hyperlink r:id="rId20" w:anchor="ft35492902-1" w:history="1">
        <w:r w:rsidRPr="003F78C0">
          <w:rPr>
            <w:rFonts w:ascii="Arial" w:eastAsia="Times New Roman" w:hAnsi="Arial" w:cs="Arial"/>
            <w:b/>
            <w:bCs/>
            <w:color w:val="661111"/>
            <w:sz w:val="18"/>
            <w:szCs w:val="18"/>
            <w:vertAlign w:val="superscript"/>
          </w:rPr>
          <w:t>[1]</w:t>
        </w:r>
      </w:hyperlink>
      <w:r w:rsidRPr="003F78C0">
        <w:rPr>
          <w:rFonts w:ascii="Arial" w:eastAsia="Times New Roman" w:hAnsi="Arial" w:cs="Arial"/>
          <w:color w:val="000000"/>
          <w:sz w:val="18"/>
          <w:szCs w:val="18"/>
        </w:rPr>
        <w:t> Said fee shall be paid prior to the issuance of any permit and is nonrefundable.</w:t>
      </w:r>
    </w:p>
    <w:p w14:paraId="1A328122" w14:textId="77777777" w:rsidR="003F78C0" w:rsidRPr="003F78C0" w:rsidRDefault="003F78C0" w:rsidP="003F78C0">
      <w:pPr>
        <w:spacing w:line="255" w:lineRule="atLeast"/>
        <w:rPr>
          <w:rFonts w:ascii="Arial" w:eastAsia="Times New Roman" w:hAnsi="Arial" w:cs="Arial"/>
          <w:i/>
          <w:iCs/>
          <w:color w:val="661111"/>
          <w:sz w:val="18"/>
          <w:szCs w:val="18"/>
        </w:rPr>
      </w:pPr>
      <w:hyperlink r:id="rId21" w:anchor="ref35492902-1" w:history="1">
        <w:r w:rsidRPr="003F78C0">
          <w:rPr>
            <w:rFonts w:ascii="Arial" w:eastAsia="Times New Roman" w:hAnsi="Arial" w:cs="Arial"/>
            <w:color w:val="661111"/>
            <w:sz w:val="18"/>
            <w:szCs w:val="18"/>
          </w:rPr>
          <w:t>[1]</w:t>
        </w:r>
      </w:hyperlink>
    </w:p>
    <w:p w14:paraId="1E90BB69" w14:textId="77141D3B" w:rsidR="003F78C0" w:rsidRDefault="003F78C0" w:rsidP="003F78C0">
      <w:pPr>
        <w:spacing w:line="255" w:lineRule="atLeast"/>
        <w:rPr>
          <w:rFonts w:ascii="Arial" w:eastAsia="Times New Roman" w:hAnsi="Arial" w:cs="Arial"/>
          <w:i/>
          <w:iCs/>
          <w:color w:val="661111"/>
          <w:sz w:val="18"/>
          <w:szCs w:val="18"/>
        </w:rPr>
      </w:pPr>
      <w:r w:rsidRPr="003F78C0">
        <w:rPr>
          <w:rFonts w:ascii="Arial" w:eastAsia="Times New Roman" w:hAnsi="Arial" w:cs="Arial"/>
          <w:i/>
          <w:iCs/>
          <w:color w:val="661111"/>
          <w:sz w:val="18"/>
          <w:szCs w:val="18"/>
        </w:rPr>
        <w:t>Editor's Note: The Fees and Licenses Schedule is on file in the Town offices.</w:t>
      </w:r>
    </w:p>
    <w:p w14:paraId="59B2698D" w14:textId="2C882FA6" w:rsidR="00147EFC" w:rsidRDefault="00147EFC" w:rsidP="003F78C0">
      <w:pPr>
        <w:spacing w:line="255" w:lineRule="atLeast"/>
        <w:rPr>
          <w:rFonts w:ascii="Arial" w:eastAsia="Times New Roman" w:hAnsi="Arial" w:cs="Arial"/>
          <w:i/>
          <w:iCs/>
          <w:color w:val="661111"/>
          <w:sz w:val="18"/>
          <w:szCs w:val="18"/>
        </w:rPr>
      </w:pPr>
    </w:p>
    <w:p w14:paraId="7F98BC95" w14:textId="218792B2" w:rsidR="00147EFC" w:rsidRDefault="00147EFC" w:rsidP="003F78C0">
      <w:pPr>
        <w:spacing w:line="255" w:lineRule="atLeast"/>
        <w:rPr>
          <w:rFonts w:ascii="Arial" w:eastAsia="Times New Roman" w:hAnsi="Arial" w:cs="Arial"/>
          <w:i/>
          <w:iCs/>
          <w:color w:val="661111"/>
          <w:sz w:val="18"/>
          <w:szCs w:val="18"/>
        </w:rPr>
      </w:pPr>
    </w:p>
    <w:p w14:paraId="69138629" w14:textId="77777777" w:rsidR="00147EFC" w:rsidRPr="003F78C0" w:rsidRDefault="00147EFC" w:rsidP="003F78C0">
      <w:pPr>
        <w:spacing w:line="255" w:lineRule="atLeast"/>
        <w:rPr>
          <w:rFonts w:ascii="Arial" w:eastAsia="Times New Roman" w:hAnsi="Arial" w:cs="Arial"/>
          <w:i/>
          <w:iCs/>
          <w:color w:val="661111"/>
          <w:sz w:val="18"/>
          <w:szCs w:val="18"/>
        </w:rPr>
      </w:pPr>
    </w:p>
    <w:p w14:paraId="31727E9E" w14:textId="77777777" w:rsidR="003F78C0" w:rsidRPr="003F78C0" w:rsidRDefault="003F78C0" w:rsidP="003F78C0">
      <w:pPr>
        <w:spacing w:before="240" w:after="100" w:afterAutospacing="1"/>
        <w:outlineLvl w:val="3"/>
        <w:rPr>
          <w:rFonts w:ascii="Arial" w:eastAsia="Times New Roman" w:hAnsi="Arial" w:cs="Arial"/>
          <w:b/>
          <w:bCs/>
          <w:color w:val="000000"/>
          <w:sz w:val="18"/>
          <w:szCs w:val="18"/>
        </w:rPr>
      </w:pPr>
      <w:hyperlink r:id="rId22" w:anchor="35492903" w:history="1">
        <w:r w:rsidRPr="003F78C0">
          <w:rPr>
            <w:rFonts w:ascii="Arial" w:eastAsia="Times New Roman" w:hAnsi="Arial" w:cs="Arial"/>
            <w:color w:val="333333"/>
            <w:sz w:val="18"/>
            <w:szCs w:val="18"/>
          </w:rPr>
          <w:t>§ 230-39. Nonconformity.</w:t>
        </w:r>
      </w:hyperlink>
    </w:p>
    <w:p w14:paraId="10703437" w14:textId="77777777" w:rsidR="003F78C0" w:rsidRPr="003F78C0" w:rsidRDefault="003F78C0" w:rsidP="003F78C0">
      <w:pPr>
        <w:spacing w:line="255" w:lineRule="atLeast"/>
        <w:jc w:val="both"/>
        <w:rPr>
          <w:rFonts w:ascii="Arial" w:eastAsia="Times New Roman" w:hAnsi="Arial" w:cs="Arial"/>
          <w:color w:val="000000"/>
          <w:sz w:val="18"/>
          <w:szCs w:val="18"/>
        </w:rPr>
      </w:pPr>
      <w:r w:rsidRPr="003F78C0">
        <w:rPr>
          <w:rFonts w:ascii="Arial" w:eastAsia="Times New Roman" w:hAnsi="Arial" w:cs="Arial"/>
          <w:color w:val="000000"/>
          <w:sz w:val="18"/>
          <w:szCs w:val="18"/>
        </w:rPr>
        <w:t>If, on a final inspection, the condition of a building or premises or its use are found not to conform to Town Code, Chapters Comm 60 to 66, Wis. Adm. Code, and Chapter ATCP 75, Wis. Adm. Code, the building inspector shall issue written notice to the owner or occupant specifying the nonconformance and ordering the owner or occupant to bring the building or premises in compliance within 30 days. Upon failure to comply or if it is necessary for the protection and safety of the occupants, the building inspector shall revoke the certificate of occupancy and order the building or premises vacated.</w:t>
      </w:r>
    </w:p>
    <w:p w14:paraId="0657AA67" w14:textId="77777777" w:rsidR="0000739E" w:rsidRPr="003F78C0" w:rsidRDefault="0000739E" w:rsidP="005207FE">
      <w:pPr>
        <w:pStyle w:val="ListParagraph"/>
        <w:ind w:left="0"/>
        <w:rPr>
          <w:sz w:val="18"/>
          <w:szCs w:val="18"/>
        </w:rPr>
      </w:pPr>
    </w:p>
    <w:p w14:paraId="13F5596B" w14:textId="77777777" w:rsidR="00AD434A" w:rsidRDefault="00AD434A" w:rsidP="00CC62C6">
      <w:pPr>
        <w:rPr>
          <w:sz w:val="24"/>
          <w:szCs w:val="24"/>
        </w:rPr>
      </w:pPr>
    </w:p>
    <w:p w14:paraId="46741CE3" w14:textId="6E2C2546" w:rsidR="00CC62C6" w:rsidRPr="005207FE" w:rsidRDefault="00CC62C6" w:rsidP="00CC62C6">
      <w:pPr>
        <w:pStyle w:val="ListParagraph"/>
        <w:ind w:left="0"/>
        <w:rPr>
          <w:b/>
          <w:sz w:val="24"/>
          <w:szCs w:val="24"/>
        </w:rPr>
      </w:pPr>
      <w:r>
        <w:rPr>
          <w:b/>
          <w:sz w:val="24"/>
          <w:szCs w:val="24"/>
        </w:rPr>
        <w:t xml:space="preserve">Requirements </w:t>
      </w:r>
      <w:r w:rsidR="003F78C0">
        <w:rPr>
          <w:b/>
          <w:sz w:val="24"/>
          <w:szCs w:val="24"/>
        </w:rPr>
        <w:t>for Form</w:t>
      </w:r>
    </w:p>
    <w:p w14:paraId="5C8793EA" w14:textId="77777777" w:rsidR="00CC62C6" w:rsidRDefault="00CC62C6" w:rsidP="00CC62C6">
      <w:pPr>
        <w:rPr>
          <w:sz w:val="24"/>
          <w:szCs w:val="24"/>
        </w:rPr>
      </w:pPr>
    </w:p>
    <w:p w14:paraId="584259A3" w14:textId="2F617847" w:rsidR="00CC62C6" w:rsidRDefault="003F78C0" w:rsidP="00CC62C6">
      <w:pPr>
        <w:pStyle w:val="ListParagraph"/>
        <w:numPr>
          <w:ilvl w:val="0"/>
          <w:numId w:val="6"/>
        </w:numPr>
        <w:rPr>
          <w:sz w:val="24"/>
          <w:szCs w:val="24"/>
        </w:rPr>
      </w:pPr>
      <w:r>
        <w:rPr>
          <w:sz w:val="24"/>
          <w:szCs w:val="24"/>
        </w:rPr>
        <w:t>Report Date</w:t>
      </w:r>
    </w:p>
    <w:p w14:paraId="494FFC02" w14:textId="06F8BE88" w:rsidR="003F78C0" w:rsidRDefault="003F78C0" w:rsidP="00CC62C6">
      <w:pPr>
        <w:pStyle w:val="ListParagraph"/>
        <w:numPr>
          <w:ilvl w:val="0"/>
          <w:numId w:val="6"/>
        </w:numPr>
        <w:rPr>
          <w:sz w:val="24"/>
          <w:szCs w:val="24"/>
        </w:rPr>
      </w:pPr>
      <w:r>
        <w:rPr>
          <w:sz w:val="24"/>
          <w:szCs w:val="24"/>
        </w:rPr>
        <w:t>Inspection Date</w:t>
      </w:r>
    </w:p>
    <w:p w14:paraId="0FB2151E" w14:textId="44C64B7B" w:rsidR="003F78C0" w:rsidRDefault="003F78C0" w:rsidP="00CC62C6">
      <w:pPr>
        <w:pStyle w:val="ListParagraph"/>
        <w:numPr>
          <w:ilvl w:val="0"/>
          <w:numId w:val="6"/>
        </w:numPr>
        <w:rPr>
          <w:sz w:val="24"/>
          <w:szCs w:val="24"/>
        </w:rPr>
      </w:pPr>
      <w:r>
        <w:rPr>
          <w:sz w:val="24"/>
          <w:szCs w:val="24"/>
        </w:rPr>
        <w:t>Permit Number – provided on the Residential Permit</w:t>
      </w:r>
    </w:p>
    <w:p w14:paraId="064A7E16" w14:textId="46DC7533" w:rsidR="003F78C0" w:rsidRDefault="003F78C0" w:rsidP="00CC62C6">
      <w:pPr>
        <w:pStyle w:val="ListParagraph"/>
        <w:numPr>
          <w:ilvl w:val="0"/>
          <w:numId w:val="6"/>
        </w:numPr>
        <w:rPr>
          <w:sz w:val="24"/>
          <w:szCs w:val="24"/>
        </w:rPr>
      </w:pPr>
      <w:r>
        <w:rPr>
          <w:sz w:val="24"/>
          <w:szCs w:val="24"/>
        </w:rPr>
        <w:t>State Seal #</w:t>
      </w:r>
    </w:p>
    <w:p w14:paraId="1288EDD6" w14:textId="252A9B52" w:rsidR="003F78C0" w:rsidRDefault="003F78C0" w:rsidP="00CC62C6">
      <w:pPr>
        <w:pStyle w:val="ListParagraph"/>
        <w:numPr>
          <w:ilvl w:val="0"/>
          <w:numId w:val="6"/>
        </w:numPr>
        <w:rPr>
          <w:sz w:val="24"/>
          <w:szCs w:val="24"/>
        </w:rPr>
      </w:pPr>
      <w:r>
        <w:rPr>
          <w:sz w:val="24"/>
          <w:szCs w:val="24"/>
        </w:rPr>
        <w:t>Parcel Number – can find on the Outagamie County Site</w:t>
      </w:r>
    </w:p>
    <w:p w14:paraId="6E9564C4" w14:textId="3212873C" w:rsidR="003F78C0" w:rsidRDefault="003F78C0" w:rsidP="00CC62C6">
      <w:pPr>
        <w:pStyle w:val="ListParagraph"/>
        <w:numPr>
          <w:ilvl w:val="0"/>
          <w:numId w:val="6"/>
        </w:numPr>
        <w:rPr>
          <w:sz w:val="24"/>
          <w:szCs w:val="24"/>
        </w:rPr>
      </w:pPr>
      <w:r>
        <w:rPr>
          <w:sz w:val="24"/>
          <w:szCs w:val="24"/>
        </w:rPr>
        <w:t>Put a check box next to the Inspection Type listed on form</w:t>
      </w:r>
    </w:p>
    <w:p w14:paraId="0BDAE7E2" w14:textId="2059EE1E" w:rsidR="003F78C0" w:rsidRDefault="003F78C0" w:rsidP="00CC62C6">
      <w:pPr>
        <w:pStyle w:val="ListParagraph"/>
        <w:numPr>
          <w:ilvl w:val="0"/>
          <w:numId w:val="6"/>
        </w:numPr>
        <w:rPr>
          <w:sz w:val="24"/>
          <w:szCs w:val="24"/>
        </w:rPr>
      </w:pPr>
      <w:r>
        <w:rPr>
          <w:sz w:val="24"/>
          <w:szCs w:val="24"/>
        </w:rPr>
        <w:t>Put a check box next to the area in which completes If Final Inspection, Occupancy May:</w:t>
      </w:r>
    </w:p>
    <w:p w14:paraId="3510B902" w14:textId="1232EB5F" w:rsidR="003F78C0" w:rsidRDefault="003F78C0" w:rsidP="00CC62C6">
      <w:pPr>
        <w:pStyle w:val="ListParagraph"/>
        <w:numPr>
          <w:ilvl w:val="0"/>
          <w:numId w:val="6"/>
        </w:numPr>
        <w:rPr>
          <w:sz w:val="24"/>
          <w:szCs w:val="24"/>
        </w:rPr>
      </w:pPr>
      <w:r>
        <w:rPr>
          <w:sz w:val="24"/>
          <w:szCs w:val="24"/>
        </w:rPr>
        <w:t>Owner’s Name and Address</w:t>
      </w:r>
    </w:p>
    <w:p w14:paraId="467C45C5" w14:textId="72486657" w:rsidR="003F78C0" w:rsidRDefault="003F78C0" w:rsidP="00CC62C6">
      <w:pPr>
        <w:pStyle w:val="ListParagraph"/>
        <w:numPr>
          <w:ilvl w:val="0"/>
          <w:numId w:val="6"/>
        </w:numPr>
        <w:rPr>
          <w:sz w:val="24"/>
          <w:szCs w:val="24"/>
        </w:rPr>
      </w:pPr>
      <w:r>
        <w:rPr>
          <w:sz w:val="24"/>
          <w:szCs w:val="24"/>
        </w:rPr>
        <w:t>Contractor Name and Address</w:t>
      </w:r>
    </w:p>
    <w:p w14:paraId="5E8B108A" w14:textId="750A852C" w:rsidR="003F78C0" w:rsidRDefault="003F78C0" w:rsidP="00CC62C6">
      <w:pPr>
        <w:pStyle w:val="ListParagraph"/>
        <w:numPr>
          <w:ilvl w:val="0"/>
          <w:numId w:val="6"/>
        </w:numPr>
        <w:rPr>
          <w:sz w:val="24"/>
          <w:szCs w:val="24"/>
        </w:rPr>
      </w:pPr>
      <w:r>
        <w:rPr>
          <w:sz w:val="24"/>
          <w:szCs w:val="24"/>
        </w:rPr>
        <w:t>Put a check box next to (An Inspection of the Above Premises has disclosed the following noncompliance’s – if needed list the items) If no items are needed then put a check box in the box showing none noted.</w:t>
      </w:r>
    </w:p>
    <w:p w14:paraId="2FA3ED4F" w14:textId="7BA5CA56" w:rsidR="003F78C0" w:rsidRDefault="003F78C0" w:rsidP="00CC62C6">
      <w:pPr>
        <w:pStyle w:val="ListParagraph"/>
        <w:numPr>
          <w:ilvl w:val="0"/>
          <w:numId w:val="6"/>
        </w:numPr>
        <w:rPr>
          <w:sz w:val="24"/>
          <w:szCs w:val="24"/>
        </w:rPr>
      </w:pPr>
      <w:r>
        <w:rPr>
          <w:sz w:val="24"/>
          <w:szCs w:val="24"/>
        </w:rPr>
        <w:t>When something has been noted under Findings and Requirements please list the code section along with when this is to be corrected.</w:t>
      </w:r>
    </w:p>
    <w:p w14:paraId="225041DA" w14:textId="10E27A8B" w:rsidR="003F78C0" w:rsidRDefault="003F78C0" w:rsidP="00CC62C6">
      <w:pPr>
        <w:pStyle w:val="ListParagraph"/>
        <w:numPr>
          <w:ilvl w:val="0"/>
          <w:numId w:val="6"/>
        </w:numPr>
        <w:rPr>
          <w:sz w:val="24"/>
          <w:szCs w:val="24"/>
        </w:rPr>
      </w:pPr>
      <w:r>
        <w:rPr>
          <w:sz w:val="24"/>
          <w:szCs w:val="24"/>
        </w:rPr>
        <w:t>If items need corrected please put date inspected for corrections and if corrections were made.</w:t>
      </w:r>
    </w:p>
    <w:p w14:paraId="5B83EDAD" w14:textId="0BA39A24" w:rsidR="003F78C0" w:rsidRDefault="003F78C0" w:rsidP="00CC62C6">
      <w:pPr>
        <w:pStyle w:val="ListParagraph"/>
        <w:numPr>
          <w:ilvl w:val="0"/>
          <w:numId w:val="6"/>
        </w:numPr>
        <w:rPr>
          <w:sz w:val="24"/>
          <w:szCs w:val="24"/>
        </w:rPr>
      </w:pPr>
      <w:r>
        <w:rPr>
          <w:sz w:val="24"/>
          <w:szCs w:val="24"/>
        </w:rPr>
        <w:t xml:space="preserve">Put a check box next to </w:t>
      </w:r>
      <w:bookmarkStart w:id="0" w:name="_GoBack"/>
      <w:bookmarkEnd w:id="0"/>
      <w:r w:rsidR="00147EFC">
        <w:rPr>
          <w:sz w:val="24"/>
          <w:szCs w:val="24"/>
        </w:rPr>
        <w:t>Enforcing:</w:t>
      </w:r>
      <w:r>
        <w:rPr>
          <w:sz w:val="24"/>
          <w:szCs w:val="24"/>
        </w:rPr>
        <w:t xml:space="preserve"> (town, village, city or county) then fill in the Name</w:t>
      </w:r>
    </w:p>
    <w:p w14:paraId="3F2916C3" w14:textId="658AA494" w:rsidR="003F78C0" w:rsidRDefault="003F78C0" w:rsidP="00CC62C6">
      <w:pPr>
        <w:pStyle w:val="ListParagraph"/>
        <w:numPr>
          <w:ilvl w:val="0"/>
          <w:numId w:val="6"/>
        </w:numPr>
        <w:rPr>
          <w:sz w:val="24"/>
          <w:szCs w:val="24"/>
        </w:rPr>
      </w:pPr>
      <w:r>
        <w:rPr>
          <w:sz w:val="24"/>
          <w:szCs w:val="24"/>
        </w:rPr>
        <w:t>Complete Inspector Name</w:t>
      </w:r>
    </w:p>
    <w:p w14:paraId="12D89CA8" w14:textId="6038A342" w:rsidR="003F78C0" w:rsidRDefault="003F78C0" w:rsidP="00CC62C6">
      <w:pPr>
        <w:pStyle w:val="ListParagraph"/>
        <w:numPr>
          <w:ilvl w:val="0"/>
          <w:numId w:val="6"/>
        </w:numPr>
        <w:rPr>
          <w:sz w:val="24"/>
          <w:szCs w:val="24"/>
        </w:rPr>
      </w:pPr>
      <w:r>
        <w:rPr>
          <w:sz w:val="24"/>
          <w:szCs w:val="24"/>
        </w:rPr>
        <w:t>Who Violations were explained to</w:t>
      </w:r>
    </w:p>
    <w:p w14:paraId="77DBF32A" w14:textId="4D750CDA" w:rsidR="003F78C0" w:rsidRDefault="003F78C0" w:rsidP="00CC62C6">
      <w:pPr>
        <w:pStyle w:val="ListParagraph"/>
        <w:numPr>
          <w:ilvl w:val="0"/>
          <w:numId w:val="6"/>
        </w:numPr>
        <w:rPr>
          <w:sz w:val="24"/>
          <w:szCs w:val="24"/>
        </w:rPr>
      </w:pPr>
      <w:r>
        <w:rPr>
          <w:sz w:val="24"/>
          <w:szCs w:val="24"/>
        </w:rPr>
        <w:t>Complete the Compliance Date</w:t>
      </w:r>
    </w:p>
    <w:p w14:paraId="1E7AE442" w14:textId="33CC3F7B" w:rsidR="003F78C0" w:rsidRDefault="003F78C0" w:rsidP="00CC62C6">
      <w:pPr>
        <w:pStyle w:val="ListParagraph"/>
        <w:numPr>
          <w:ilvl w:val="0"/>
          <w:numId w:val="6"/>
        </w:numPr>
        <w:rPr>
          <w:sz w:val="24"/>
          <w:szCs w:val="24"/>
        </w:rPr>
      </w:pPr>
      <w:r>
        <w:rPr>
          <w:sz w:val="24"/>
          <w:szCs w:val="24"/>
        </w:rPr>
        <w:t>Inspectors Address – complete address not just name of facility</w:t>
      </w:r>
    </w:p>
    <w:p w14:paraId="3DAC2980" w14:textId="49112CBA" w:rsidR="003F78C0" w:rsidRDefault="00147EFC" w:rsidP="00CC62C6">
      <w:pPr>
        <w:pStyle w:val="ListParagraph"/>
        <w:numPr>
          <w:ilvl w:val="0"/>
          <w:numId w:val="6"/>
        </w:numPr>
        <w:rPr>
          <w:sz w:val="24"/>
          <w:szCs w:val="24"/>
        </w:rPr>
      </w:pPr>
      <w:r>
        <w:rPr>
          <w:sz w:val="24"/>
          <w:szCs w:val="24"/>
        </w:rPr>
        <w:t>Complete office hours (7AM-4PM M-TH and 7AM-12 Fri)</w:t>
      </w:r>
    </w:p>
    <w:p w14:paraId="32EDC8E4" w14:textId="07C30F77" w:rsidR="00147EFC" w:rsidRDefault="00147EFC" w:rsidP="00CC62C6">
      <w:pPr>
        <w:pStyle w:val="ListParagraph"/>
        <w:numPr>
          <w:ilvl w:val="0"/>
          <w:numId w:val="6"/>
        </w:numPr>
        <w:rPr>
          <w:sz w:val="24"/>
          <w:szCs w:val="24"/>
        </w:rPr>
      </w:pPr>
      <w:r>
        <w:rPr>
          <w:sz w:val="24"/>
          <w:szCs w:val="24"/>
        </w:rPr>
        <w:t>Telephone number would be the cellphone of the Inspector</w:t>
      </w:r>
    </w:p>
    <w:p w14:paraId="61350705" w14:textId="5135816C" w:rsidR="00147EFC" w:rsidRDefault="00147EFC" w:rsidP="00CC62C6">
      <w:pPr>
        <w:pStyle w:val="ListParagraph"/>
        <w:numPr>
          <w:ilvl w:val="0"/>
          <w:numId w:val="6"/>
        </w:numPr>
        <w:rPr>
          <w:sz w:val="24"/>
          <w:szCs w:val="24"/>
        </w:rPr>
      </w:pPr>
      <w:r>
        <w:rPr>
          <w:sz w:val="24"/>
          <w:szCs w:val="24"/>
        </w:rPr>
        <w:t>Complete the area stating Noncompliance’s Verified Still Exist? (if needed, notate order above) then put a check box in the box needed either YES or NO</w:t>
      </w:r>
    </w:p>
    <w:p w14:paraId="1EF86681" w14:textId="77777777" w:rsidR="00CC62C6" w:rsidRPr="00147EFC" w:rsidRDefault="00CC62C6" w:rsidP="00147EFC">
      <w:pPr>
        <w:pStyle w:val="ListParagraph"/>
        <w:rPr>
          <w:sz w:val="24"/>
          <w:szCs w:val="24"/>
        </w:rPr>
      </w:pPr>
    </w:p>
    <w:sectPr w:rsidR="00CC62C6" w:rsidRPr="00147EFC" w:rsidSect="00E048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23069" w14:textId="77777777" w:rsidR="00A74C65" w:rsidRDefault="00A74C65" w:rsidP="00E12EE4">
      <w:r>
        <w:separator/>
      </w:r>
    </w:p>
  </w:endnote>
  <w:endnote w:type="continuationSeparator" w:id="0">
    <w:p w14:paraId="6798835B" w14:textId="77777777" w:rsidR="00A74C65" w:rsidRDefault="00A74C65" w:rsidP="00E1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85628" w14:textId="77777777" w:rsidR="00A74C65" w:rsidRDefault="00A74C65" w:rsidP="00E12EE4">
      <w:r>
        <w:separator/>
      </w:r>
    </w:p>
  </w:footnote>
  <w:footnote w:type="continuationSeparator" w:id="0">
    <w:p w14:paraId="4F81EE1F" w14:textId="77777777" w:rsidR="00A74C65" w:rsidRDefault="00A74C65" w:rsidP="00E12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730"/>
    <w:multiLevelType w:val="hybridMultilevel"/>
    <w:tmpl w:val="E74E5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38EC"/>
    <w:multiLevelType w:val="hybridMultilevel"/>
    <w:tmpl w:val="08C4C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93CE0"/>
    <w:multiLevelType w:val="hybridMultilevel"/>
    <w:tmpl w:val="544C37AA"/>
    <w:lvl w:ilvl="0" w:tplc="BFB645A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5C26"/>
    <w:multiLevelType w:val="hybridMultilevel"/>
    <w:tmpl w:val="999A52F4"/>
    <w:lvl w:ilvl="0" w:tplc="455E778C">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172F0"/>
    <w:multiLevelType w:val="hybridMultilevel"/>
    <w:tmpl w:val="5E461EF6"/>
    <w:lvl w:ilvl="0" w:tplc="191817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C39BE"/>
    <w:multiLevelType w:val="hybridMultilevel"/>
    <w:tmpl w:val="F0C8C6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5F2399"/>
    <w:multiLevelType w:val="hybridMultilevel"/>
    <w:tmpl w:val="B7EA19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182C"/>
    <w:rsid w:val="0000739E"/>
    <w:rsid w:val="00040C67"/>
    <w:rsid w:val="001235BB"/>
    <w:rsid w:val="00147EFC"/>
    <w:rsid w:val="001A4100"/>
    <w:rsid w:val="001E27E5"/>
    <w:rsid w:val="001E2864"/>
    <w:rsid w:val="00261B7F"/>
    <w:rsid w:val="002B3325"/>
    <w:rsid w:val="00325EEE"/>
    <w:rsid w:val="003D0453"/>
    <w:rsid w:val="003F78C0"/>
    <w:rsid w:val="00414CA2"/>
    <w:rsid w:val="004204D7"/>
    <w:rsid w:val="00422724"/>
    <w:rsid w:val="004F1DA2"/>
    <w:rsid w:val="005207FE"/>
    <w:rsid w:val="00581090"/>
    <w:rsid w:val="005816A4"/>
    <w:rsid w:val="00617C9A"/>
    <w:rsid w:val="00692385"/>
    <w:rsid w:val="006B65AC"/>
    <w:rsid w:val="006B7F77"/>
    <w:rsid w:val="006C3726"/>
    <w:rsid w:val="006D182C"/>
    <w:rsid w:val="00775F9B"/>
    <w:rsid w:val="007C0940"/>
    <w:rsid w:val="007D3CB2"/>
    <w:rsid w:val="00803D30"/>
    <w:rsid w:val="008741B5"/>
    <w:rsid w:val="008E2A63"/>
    <w:rsid w:val="0093034A"/>
    <w:rsid w:val="0096465A"/>
    <w:rsid w:val="009B5E79"/>
    <w:rsid w:val="009F5F1D"/>
    <w:rsid w:val="00A43B82"/>
    <w:rsid w:val="00A74C65"/>
    <w:rsid w:val="00AC14ED"/>
    <w:rsid w:val="00AD434A"/>
    <w:rsid w:val="00B33F85"/>
    <w:rsid w:val="00B573D8"/>
    <w:rsid w:val="00B80A60"/>
    <w:rsid w:val="00B97488"/>
    <w:rsid w:val="00BC5285"/>
    <w:rsid w:val="00BE6153"/>
    <w:rsid w:val="00C96CD4"/>
    <w:rsid w:val="00CC62C6"/>
    <w:rsid w:val="00CD2BD6"/>
    <w:rsid w:val="00D13810"/>
    <w:rsid w:val="00D2487D"/>
    <w:rsid w:val="00E04872"/>
    <w:rsid w:val="00E12EE4"/>
    <w:rsid w:val="00E17D0C"/>
    <w:rsid w:val="00E74B18"/>
    <w:rsid w:val="00ED7038"/>
    <w:rsid w:val="00F0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6C9C"/>
  <w15:docId w15:val="{A407022B-1CA8-4E42-A108-7403BA5B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810"/>
  </w:style>
  <w:style w:type="paragraph" w:styleId="Heading2">
    <w:name w:val="heading 2"/>
    <w:basedOn w:val="Normal"/>
    <w:link w:val="Heading2Char"/>
    <w:uiPriority w:val="9"/>
    <w:qFormat/>
    <w:rsid w:val="003F78C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F78C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EE4"/>
    <w:pPr>
      <w:tabs>
        <w:tab w:val="center" w:pos="4680"/>
        <w:tab w:val="right" w:pos="9360"/>
      </w:tabs>
    </w:pPr>
  </w:style>
  <w:style w:type="character" w:customStyle="1" w:styleId="HeaderChar">
    <w:name w:val="Header Char"/>
    <w:basedOn w:val="DefaultParagraphFont"/>
    <w:link w:val="Header"/>
    <w:uiPriority w:val="99"/>
    <w:rsid w:val="00E12EE4"/>
  </w:style>
  <w:style w:type="paragraph" w:styleId="Footer">
    <w:name w:val="footer"/>
    <w:basedOn w:val="Normal"/>
    <w:link w:val="FooterChar"/>
    <w:uiPriority w:val="99"/>
    <w:unhideWhenUsed/>
    <w:rsid w:val="00E12EE4"/>
    <w:pPr>
      <w:tabs>
        <w:tab w:val="center" w:pos="4680"/>
        <w:tab w:val="right" w:pos="9360"/>
      </w:tabs>
    </w:pPr>
  </w:style>
  <w:style w:type="character" w:customStyle="1" w:styleId="FooterChar">
    <w:name w:val="Footer Char"/>
    <w:basedOn w:val="DefaultParagraphFont"/>
    <w:link w:val="Footer"/>
    <w:uiPriority w:val="99"/>
    <w:rsid w:val="00E12EE4"/>
  </w:style>
  <w:style w:type="paragraph" w:styleId="ListParagraph">
    <w:name w:val="List Paragraph"/>
    <w:basedOn w:val="Normal"/>
    <w:uiPriority w:val="34"/>
    <w:qFormat/>
    <w:rsid w:val="002B3325"/>
    <w:pPr>
      <w:ind w:left="720"/>
      <w:contextualSpacing/>
    </w:pPr>
  </w:style>
  <w:style w:type="paragraph" w:styleId="BalloonText">
    <w:name w:val="Balloon Text"/>
    <w:basedOn w:val="Normal"/>
    <w:link w:val="BalloonTextChar"/>
    <w:uiPriority w:val="99"/>
    <w:semiHidden/>
    <w:unhideWhenUsed/>
    <w:rsid w:val="0096465A"/>
    <w:rPr>
      <w:rFonts w:ascii="Tahoma" w:hAnsi="Tahoma" w:cs="Tahoma"/>
      <w:sz w:val="16"/>
      <w:szCs w:val="16"/>
    </w:rPr>
  </w:style>
  <w:style w:type="character" w:customStyle="1" w:styleId="BalloonTextChar">
    <w:name w:val="Balloon Text Char"/>
    <w:basedOn w:val="DefaultParagraphFont"/>
    <w:link w:val="BalloonText"/>
    <w:uiPriority w:val="99"/>
    <w:semiHidden/>
    <w:rsid w:val="0096465A"/>
    <w:rPr>
      <w:rFonts w:ascii="Tahoma" w:hAnsi="Tahoma" w:cs="Tahoma"/>
      <w:sz w:val="16"/>
      <w:szCs w:val="16"/>
    </w:rPr>
  </w:style>
  <w:style w:type="character" w:customStyle="1" w:styleId="Heading2Char">
    <w:name w:val="Heading 2 Char"/>
    <w:basedOn w:val="DefaultParagraphFont"/>
    <w:link w:val="Heading2"/>
    <w:uiPriority w:val="9"/>
    <w:rsid w:val="003F78C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F78C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F7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25192">
      <w:bodyDiv w:val="1"/>
      <w:marLeft w:val="0"/>
      <w:marRight w:val="0"/>
      <w:marTop w:val="0"/>
      <w:marBottom w:val="0"/>
      <w:divBdr>
        <w:top w:val="none" w:sz="0" w:space="0" w:color="auto"/>
        <w:left w:val="none" w:sz="0" w:space="0" w:color="auto"/>
        <w:bottom w:val="none" w:sz="0" w:space="0" w:color="auto"/>
        <w:right w:val="none" w:sz="0" w:space="0" w:color="auto"/>
      </w:divBdr>
      <w:divsChild>
        <w:div w:id="2074884885">
          <w:marLeft w:val="0"/>
          <w:marRight w:val="0"/>
          <w:marTop w:val="0"/>
          <w:marBottom w:val="0"/>
          <w:divBdr>
            <w:top w:val="none" w:sz="0" w:space="0" w:color="auto"/>
            <w:left w:val="none" w:sz="0" w:space="0" w:color="auto"/>
            <w:bottom w:val="none" w:sz="0" w:space="0" w:color="auto"/>
            <w:right w:val="none" w:sz="0" w:space="0" w:color="auto"/>
          </w:divBdr>
          <w:divsChild>
            <w:div w:id="1639803081">
              <w:marLeft w:val="0"/>
              <w:marRight w:val="0"/>
              <w:marTop w:val="0"/>
              <w:marBottom w:val="0"/>
              <w:divBdr>
                <w:top w:val="none" w:sz="0" w:space="0" w:color="auto"/>
                <w:left w:val="none" w:sz="0" w:space="0" w:color="auto"/>
                <w:bottom w:val="none" w:sz="0" w:space="0" w:color="auto"/>
                <w:right w:val="none" w:sz="0" w:space="0" w:color="auto"/>
              </w:divBdr>
              <w:divsChild>
                <w:div w:id="663970065">
                  <w:marLeft w:val="0"/>
                  <w:marRight w:val="0"/>
                  <w:marTop w:val="180"/>
                  <w:marBottom w:val="180"/>
                  <w:divBdr>
                    <w:top w:val="none" w:sz="0" w:space="0" w:color="auto"/>
                    <w:left w:val="none" w:sz="0" w:space="0" w:color="auto"/>
                    <w:bottom w:val="none" w:sz="0" w:space="0" w:color="auto"/>
                    <w:right w:val="none" w:sz="0" w:space="0" w:color="auto"/>
                  </w:divBdr>
                  <w:divsChild>
                    <w:div w:id="2122260503">
                      <w:marLeft w:val="480"/>
                      <w:marRight w:val="0"/>
                      <w:marTop w:val="0"/>
                      <w:marBottom w:val="0"/>
                      <w:divBdr>
                        <w:top w:val="none" w:sz="0" w:space="0" w:color="auto"/>
                        <w:left w:val="none" w:sz="0" w:space="0" w:color="auto"/>
                        <w:bottom w:val="none" w:sz="0" w:space="0" w:color="auto"/>
                        <w:right w:val="none" w:sz="0" w:space="0" w:color="auto"/>
                      </w:divBdr>
                    </w:div>
                  </w:divsChild>
                </w:div>
                <w:div w:id="1414862804">
                  <w:marLeft w:val="0"/>
                  <w:marRight w:val="0"/>
                  <w:marTop w:val="180"/>
                  <w:marBottom w:val="180"/>
                  <w:divBdr>
                    <w:top w:val="none" w:sz="0" w:space="0" w:color="auto"/>
                    <w:left w:val="none" w:sz="0" w:space="0" w:color="auto"/>
                    <w:bottom w:val="none" w:sz="0" w:space="0" w:color="auto"/>
                    <w:right w:val="none" w:sz="0" w:space="0" w:color="auto"/>
                  </w:divBdr>
                  <w:divsChild>
                    <w:div w:id="2094206699">
                      <w:marLeft w:val="480"/>
                      <w:marRight w:val="0"/>
                      <w:marTop w:val="0"/>
                      <w:marBottom w:val="0"/>
                      <w:divBdr>
                        <w:top w:val="none" w:sz="0" w:space="0" w:color="auto"/>
                        <w:left w:val="none" w:sz="0" w:space="0" w:color="auto"/>
                        <w:bottom w:val="none" w:sz="0" w:space="0" w:color="auto"/>
                        <w:right w:val="none" w:sz="0" w:space="0" w:color="auto"/>
                      </w:divBdr>
                    </w:div>
                  </w:divsChild>
                </w:div>
                <w:div w:id="657029354">
                  <w:marLeft w:val="0"/>
                  <w:marRight w:val="0"/>
                  <w:marTop w:val="180"/>
                  <w:marBottom w:val="0"/>
                  <w:divBdr>
                    <w:top w:val="none" w:sz="0" w:space="0" w:color="auto"/>
                    <w:left w:val="none" w:sz="0" w:space="0" w:color="auto"/>
                    <w:bottom w:val="none" w:sz="0" w:space="0" w:color="auto"/>
                    <w:right w:val="none" w:sz="0" w:space="0" w:color="auto"/>
                  </w:divBdr>
                  <w:divsChild>
                    <w:div w:id="4838162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116">
          <w:marLeft w:val="0"/>
          <w:marRight w:val="0"/>
          <w:marTop w:val="0"/>
          <w:marBottom w:val="0"/>
          <w:divBdr>
            <w:top w:val="none" w:sz="0" w:space="0" w:color="auto"/>
            <w:left w:val="none" w:sz="0" w:space="0" w:color="auto"/>
            <w:bottom w:val="none" w:sz="0" w:space="0" w:color="auto"/>
            <w:right w:val="none" w:sz="0" w:space="0" w:color="auto"/>
          </w:divBdr>
        </w:div>
        <w:div w:id="854660533">
          <w:marLeft w:val="0"/>
          <w:marRight w:val="0"/>
          <w:marTop w:val="0"/>
          <w:marBottom w:val="0"/>
          <w:divBdr>
            <w:top w:val="none" w:sz="0" w:space="0" w:color="auto"/>
            <w:left w:val="none" w:sz="0" w:space="0" w:color="auto"/>
            <w:bottom w:val="none" w:sz="0" w:space="0" w:color="auto"/>
            <w:right w:val="none" w:sz="0" w:space="0" w:color="auto"/>
          </w:divBdr>
        </w:div>
        <w:div w:id="668413023">
          <w:marLeft w:val="0"/>
          <w:marRight w:val="0"/>
          <w:marTop w:val="0"/>
          <w:marBottom w:val="0"/>
          <w:divBdr>
            <w:top w:val="none" w:sz="0" w:space="0" w:color="auto"/>
            <w:left w:val="none" w:sz="0" w:space="0" w:color="auto"/>
            <w:bottom w:val="none" w:sz="0" w:space="0" w:color="auto"/>
            <w:right w:val="none" w:sz="0" w:space="0" w:color="auto"/>
          </w:divBdr>
          <w:divsChild>
            <w:div w:id="1899318839">
              <w:marLeft w:val="0"/>
              <w:marRight w:val="0"/>
              <w:marTop w:val="0"/>
              <w:marBottom w:val="0"/>
              <w:divBdr>
                <w:top w:val="none" w:sz="0" w:space="0" w:color="auto"/>
                <w:left w:val="none" w:sz="0" w:space="0" w:color="auto"/>
                <w:bottom w:val="none" w:sz="0" w:space="0" w:color="auto"/>
                <w:right w:val="none" w:sz="0" w:space="0" w:color="auto"/>
              </w:divBdr>
              <w:divsChild>
                <w:div w:id="2629203">
                  <w:marLeft w:val="0"/>
                  <w:marRight w:val="0"/>
                  <w:marTop w:val="0"/>
                  <w:marBottom w:val="0"/>
                  <w:divBdr>
                    <w:top w:val="none" w:sz="0" w:space="0" w:color="auto"/>
                    <w:left w:val="none" w:sz="0" w:space="0" w:color="auto"/>
                    <w:bottom w:val="none" w:sz="0" w:space="0" w:color="auto"/>
                    <w:right w:val="none" w:sz="0" w:space="0" w:color="auto"/>
                  </w:divBdr>
                  <w:divsChild>
                    <w:div w:id="151592001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de360.com/print/BU2871?guid=35492895,35492899,35492901,35492902,35492903" TargetMode="External"/><Relationship Id="rId13" Type="http://schemas.openxmlformats.org/officeDocument/2006/relationships/hyperlink" Target="https://ecode360.com/print/35492898" TargetMode="External"/><Relationship Id="rId18" Type="http://schemas.openxmlformats.org/officeDocument/2006/relationships/hyperlink" Target="https://ecode360.com/print/BU2871?guid=35492895,35492899,35492901,35492902,35492903" TargetMode="External"/><Relationship Id="rId3" Type="http://schemas.openxmlformats.org/officeDocument/2006/relationships/styles" Target="styles.xml"/><Relationship Id="rId21" Type="http://schemas.openxmlformats.org/officeDocument/2006/relationships/hyperlink" Target="https://ecode360.com/print/BU2871?guid=35492895,35492899,35492901,35492902,35492903" TargetMode="External"/><Relationship Id="rId7" Type="http://schemas.openxmlformats.org/officeDocument/2006/relationships/endnotes" Target="endnotes.xml"/><Relationship Id="rId12" Type="http://schemas.openxmlformats.org/officeDocument/2006/relationships/hyperlink" Target="https://ecode360.com/print/35492906" TargetMode="External"/><Relationship Id="rId17" Type="http://schemas.openxmlformats.org/officeDocument/2006/relationships/hyperlink" Target="https://ecode360.com/print/35492900" TargetMode="External"/><Relationship Id="rId2" Type="http://schemas.openxmlformats.org/officeDocument/2006/relationships/numbering" Target="numbering.xml"/><Relationship Id="rId16" Type="http://schemas.openxmlformats.org/officeDocument/2006/relationships/hyperlink" Target="https://ecode360.com/print/BU2871?guid=35492895,35492899,35492901,35492902,35492903" TargetMode="External"/><Relationship Id="rId20" Type="http://schemas.openxmlformats.org/officeDocument/2006/relationships/hyperlink" Target="https://ecode360.com/print/BU2871?guid=35492895,35492899,35492901,35492902,354929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print/354928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de360.com/print/35492906" TargetMode="External"/><Relationship Id="rId23" Type="http://schemas.openxmlformats.org/officeDocument/2006/relationships/fontTable" Target="fontTable.xml"/><Relationship Id="rId10" Type="http://schemas.openxmlformats.org/officeDocument/2006/relationships/hyperlink" Target="https://ecode360.com/print/35492896" TargetMode="External"/><Relationship Id="rId19" Type="http://schemas.openxmlformats.org/officeDocument/2006/relationships/hyperlink" Target="https://ecode360.com/print/BU2871?guid=35492895,35492899,35492901,35492902,35492903" TargetMode="External"/><Relationship Id="rId4" Type="http://schemas.openxmlformats.org/officeDocument/2006/relationships/settings" Target="settings.xml"/><Relationship Id="rId9" Type="http://schemas.openxmlformats.org/officeDocument/2006/relationships/hyperlink" Target="https://ecode360.com/print/BU2871?guid=35492895,35492899,35492901,35492902,35492903" TargetMode="External"/><Relationship Id="rId14" Type="http://schemas.openxmlformats.org/officeDocument/2006/relationships/hyperlink" Target="https://ecode360.com/print/35492903" TargetMode="External"/><Relationship Id="rId22" Type="http://schemas.openxmlformats.org/officeDocument/2006/relationships/hyperlink" Target="https://ecode360.com/print/BU2871?guid=35492895,35492899,35492901,35492902,35492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E09B-E1C1-44CB-ADAE-702B0344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Gorall</dc:creator>
  <cp:lastModifiedBy>Nichole Nielson</cp:lastModifiedBy>
  <cp:revision>13</cp:revision>
  <cp:lastPrinted>2021-10-21T17:09:00Z</cp:lastPrinted>
  <dcterms:created xsi:type="dcterms:W3CDTF">2010-06-09T17:10:00Z</dcterms:created>
  <dcterms:modified xsi:type="dcterms:W3CDTF">2022-02-21T17:52:00Z</dcterms:modified>
</cp:coreProperties>
</file>